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5D" w:rsidRPr="003A1669" w:rsidRDefault="00561EA6" w:rsidP="00D82D99">
      <w:pPr>
        <w:tabs>
          <w:tab w:val="left" w:pos="4253"/>
        </w:tabs>
        <w:ind w:left="4820"/>
        <w:jc w:val="both"/>
        <w:rPr>
          <w:rFonts w:asciiTheme="majorHAnsi" w:hAnsiTheme="majorHAnsi"/>
          <w:b/>
          <w:sz w:val="18"/>
          <w:szCs w:val="22"/>
        </w:rPr>
      </w:pPr>
      <w:bookmarkStart w:id="0" w:name="_GoBack"/>
      <w:bookmarkEnd w:id="0"/>
      <w:r w:rsidRPr="003A1669">
        <w:rPr>
          <w:rFonts w:asciiTheme="majorHAnsi" w:hAnsiTheme="majorHAnsi"/>
          <w:noProof/>
          <w:sz w:val="18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18F1655C" wp14:editId="7FCA2940">
            <wp:simplePos x="0" y="0"/>
            <wp:positionH relativeFrom="column">
              <wp:posOffset>215900</wp:posOffset>
            </wp:positionH>
            <wp:positionV relativeFrom="paragraph">
              <wp:posOffset>17780</wp:posOffset>
            </wp:positionV>
            <wp:extent cx="75120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0815" y="21274"/>
                <wp:lineTo x="2081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AA" w:rsidRPr="003A1669">
        <w:rPr>
          <w:rFonts w:asciiTheme="majorHAnsi" w:hAnsiTheme="majorHAnsi"/>
          <w:b/>
          <w:sz w:val="18"/>
          <w:szCs w:val="22"/>
        </w:rPr>
        <w:t>Mar</w:t>
      </w:r>
      <w:r w:rsidR="00073203" w:rsidRPr="003A1669">
        <w:rPr>
          <w:rFonts w:asciiTheme="majorHAnsi" w:hAnsiTheme="majorHAnsi"/>
          <w:b/>
          <w:sz w:val="18"/>
          <w:szCs w:val="22"/>
        </w:rPr>
        <w:t>isa Cañadas Garre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Doctora en Bioquímica y Biología Molecular</w:t>
      </w:r>
    </w:p>
    <w:p w:rsidR="00BC1A51" w:rsidRPr="003A1669" w:rsidRDefault="00BC1A51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Técnico de Apoyo del SNS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Unidad de Farmacogenética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Hospital Universitario Virgen de las Nieves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Av. de las Fuerzas Armadas nº2, 18014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Granada.</w:t>
      </w:r>
      <w:r w:rsidR="00BC1A51" w:rsidRPr="003A1669">
        <w:rPr>
          <w:rFonts w:asciiTheme="majorHAnsi" w:hAnsiTheme="majorHAnsi"/>
          <w:sz w:val="18"/>
          <w:szCs w:val="22"/>
        </w:rPr>
        <w:t xml:space="preserve"> </w:t>
      </w:r>
      <w:r w:rsidRPr="003A1669">
        <w:rPr>
          <w:rFonts w:asciiTheme="majorHAnsi" w:hAnsiTheme="majorHAnsi"/>
          <w:sz w:val="18"/>
          <w:szCs w:val="22"/>
        </w:rPr>
        <w:t>España</w:t>
      </w:r>
    </w:p>
    <w:p w:rsidR="00073203" w:rsidRPr="003A1669" w:rsidRDefault="00073203" w:rsidP="00D82D99">
      <w:pPr>
        <w:tabs>
          <w:tab w:val="left" w:pos="4253"/>
        </w:tabs>
        <w:ind w:left="4820"/>
        <w:jc w:val="both"/>
        <w:rPr>
          <w:rFonts w:asciiTheme="majorHAnsi" w:hAnsiTheme="majorHAnsi"/>
          <w:sz w:val="18"/>
          <w:szCs w:val="22"/>
        </w:rPr>
      </w:pPr>
      <w:r w:rsidRPr="003A1669">
        <w:rPr>
          <w:rFonts w:asciiTheme="majorHAnsi" w:hAnsiTheme="majorHAnsi"/>
          <w:sz w:val="18"/>
          <w:szCs w:val="22"/>
        </w:rPr>
        <w:t>Teléfono: 958020108. Fax: 958020004</w:t>
      </w:r>
    </w:p>
    <w:p w:rsidR="00073203" w:rsidRPr="003A1669" w:rsidRDefault="00073203" w:rsidP="007E2B8B">
      <w:pPr>
        <w:tabs>
          <w:tab w:val="left" w:pos="4253"/>
        </w:tabs>
        <w:spacing w:after="120"/>
        <w:ind w:left="4820"/>
        <w:jc w:val="both"/>
        <w:rPr>
          <w:rFonts w:asciiTheme="majorHAnsi" w:hAnsiTheme="majorHAnsi" w:cs="Arial"/>
          <w:sz w:val="18"/>
          <w:szCs w:val="22"/>
          <w:lang w:val="es-ES"/>
        </w:rPr>
      </w:pPr>
      <w:r w:rsidRPr="003A1669">
        <w:rPr>
          <w:rFonts w:asciiTheme="majorHAnsi" w:hAnsiTheme="majorHAnsi"/>
          <w:sz w:val="18"/>
          <w:szCs w:val="22"/>
        </w:rPr>
        <w:t>e-mail:</w:t>
      </w:r>
      <w:r w:rsidRPr="003A1669">
        <w:rPr>
          <w:rFonts w:asciiTheme="majorHAnsi" w:hAnsiTheme="majorHAnsi" w:cs="Arial"/>
          <w:sz w:val="18"/>
          <w:szCs w:val="22"/>
          <w:lang w:val="es-ES"/>
        </w:rPr>
        <w:t xml:space="preserve"> </w:t>
      </w:r>
      <w:hyperlink r:id="rId7" w:history="1">
        <w:r w:rsidRPr="003A1669">
          <w:rPr>
            <w:rStyle w:val="Hipervnculo"/>
            <w:rFonts w:asciiTheme="majorHAnsi" w:hAnsiTheme="majorHAnsi" w:cs="Arial"/>
            <w:sz w:val="18"/>
            <w:szCs w:val="22"/>
            <w:lang w:val="es-ES"/>
          </w:rPr>
          <w:t>marisacgarre@gmail.com</w:t>
        </w:r>
      </w:hyperlink>
    </w:p>
    <w:tbl>
      <w:tblPr>
        <w:tblStyle w:val="Listaclara-nfasis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D82D99" w:rsidTr="007E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solid" w:color="auto" w:fill="E2960C"/>
          </w:tcPr>
          <w:p w:rsidR="00D82D99" w:rsidRDefault="00E425CA" w:rsidP="00E425CA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20"/>
                <w:szCs w:val="22"/>
              </w:rPr>
            </w:pPr>
            <w:r>
              <w:rPr>
                <w:rFonts w:asciiTheme="majorHAnsi" w:hAnsiTheme="majorHAnsi" w:cs="Arial"/>
                <w:noProof/>
                <w:sz w:val="20"/>
                <w:szCs w:val="22"/>
              </w:rPr>
              <w:t>Publicaciones originales</w:t>
            </w:r>
          </w:p>
        </w:tc>
      </w:tr>
      <w:tr w:rsidR="00D82D99" w:rsidRPr="00A544FA" w:rsidTr="007E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2D99" w:rsidRPr="00040191" w:rsidRDefault="00040191" w:rsidP="00AE0718">
            <w:pPr>
              <w:jc w:val="both"/>
              <w:rPr>
                <w:rFonts w:asciiTheme="majorHAnsi" w:hAnsiTheme="majorHAnsi" w:cs="Arial"/>
                <w:bCs w:val="0"/>
                <w:noProof/>
                <w:sz w:val="18"/>
                <w:szCs w:val="22"/>
              </w:rPr>
            </w:pPr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>Rojo Venegas K, Aguilera Gómez M,</w:t>
            </w:r>
            <w:r w:rsidRPr="00040191">
              <w:rPr>
                <w:rFonts w:asciiTheme="majorHAnsi" w:hAnsiTheme="majorHAnsi"/>
                <w:sz w:val="18"/>
                <w:szCs w:val="22"/>
              </w:rPr>
              <w:t xml:space="preserve"> Cañada</w:t>
            </w:r>
            <w:r>
              <w:rPr>
                <w:rFonts w:asciiTheme="majorHAnsi" w:hAnsiTheme="majorHAnsi"/>
                <w:sz w:val="18"/>
                <w:szCs w:val="22"/>
              </w:rPr>
              <w:t>s</w:t>
            </w:r>
            <w:r w:rsidRPr="00040191">
              <w:rPr>
                <w:rFonts w:asciiTheme="majorHAnsi" w:hAnsiTheme="majorHAnsi"/>
                <w:sz w:val="18"/>
                <w:szCs w:val="22"/>
              </w:rPr>
              <w:t xml:space="preserve"> Garre M</w:t>
            </w:r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 xml:space="preserve">, Sánchez AG, Contreras-Ortega C, Calleja Hernández MA. </w:t>
            </w:r>
            <w:proofErr w:type="spellStart"/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>Pharmacogenetics</w:t>
            </w:r>
            <w:proofErr w:type="spellEnd"/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 xml:space="preserve"> of osteoporosis: </w:t>
            </w:r>
            <w:proofErr w:type="spellStart"/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>towards</w:t>
            </w:r>
            <w:proofErr w:type="spellEnd"/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 xml:space="preserve"> novel </w:t>
            </w:r>
            <w:proofErr w:type="spellStart"/>
            <w:r w:rsidRPr="00040191">
              <w:rPr>
                <w:rFonts w:asciiTheme="majorHAnsi" w:hAnsiTheme="majorHAnsi"/>
                <w:b w:val="0"/>
                <w:sz w:val="18"/>
                <w:szCs w:val="22"/>
              </w:rPr>
              <w:t>therano</w:t>
            </w:r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>stics</w:t>
            </w:r>
            <w:proofErr w:type="spellEnd"/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proofErr w:type="spellStart"/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>for</w:t>
            </w:r>
            <w:proofErr w:type="spellEnd"/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 xml:space="preserve"> </w:t>
            </w:r>
            <w:proofErr w:type="spellStart"/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>personalized</w:t>
            </w:r>
            <w:proofErr w:type="spellEnd"/>
            <w:r w:rsidR="00AE0718">
              <w:rPr>
                <w:rFonts w:asciiTheme="majorHAnsi" w:hAnsiTheme="majorHAnsi"/>
                <w:b w:val="0"/>
                <w:sz w:val="18"/>
                <w:szCs w:val="22"/>
              </w:rPr>
              <w:t xml:space="preserve"> medicine? </w:t>
            </w:r>
            <w:hyperlink r:id="rId8" w:tooltip="Omics : a journal of integrative biology." w:history="1">
              <w:r w:rsidR="00D82D99" w:rsidRPr="00040191">
                <w:rPr>
                  <w:rStyle w:val="Hipervnculo"/>
                  <w:rFonts w:asciiTheme="majorHAnsi" w:eastAsia="Times New Roman" w:hAnsiTheme="majorHAnsi" w:cs="Times New Roman"/>
                  <w:color w:val="000000" w:themeColor="text1"/>
                  <w:sz w:val="18"/>
                  <w:szCs w:val="22"/>
                  <w:u w:val="none"/>
                  <w:shd w:val="clear" w:color="auto" w:fill="FFFFFF"/>
                </w:rPr>
                <w:t>OMICS.</w:t>
              </w:r>
            </w:hyperlink>
            <w:r w:rsidR="00D82D99" w:rsidRPr="00040191">
              <w:rPr>
                <w:rStyle w:val="apple-converted-space"/>
                <w:rFonts w:asciiTheme="majorHAnsi" w:eastAsia="Times New Roman" w:hAnsiTheme="majorHAnsi" w:cs="Times New Roman"/>
                <w:color w:val="000000" w:themeColor="text1"/>
                <w:sz w:val="18"/>
                <w:szCs w:val="22"/>
                <w:shd w:val="clear" w:color="auto" w:fill="FFFFFF"/>
              </w:rPr>
              <w:t> </w:t>
            </w:r>
            <w:r w:rsidR="00D82D99" w:rsidRPr="0004019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shd w:val="clear" w:color="auto" w:fill="FFFFFF"/>
              </w:rPr>
              <w:t>2012;16(12):638-51.</w:t>
            </w:r>
            <w:r w:rsidR="00D82D99" w:rsidRPr="00040191">
              <w:rPr>
                <w:rFonts w:asciiTheme="majorHAnsi" w:hAnsiTheme="majorHAnsi" w:cs="Arial"/>
                <w:noProof/>
                <w:sz w:val="18"/>
                <w:szCs w:val="22"/>
              </w:rPr>
              <w:t xml:space="preserve"> </w:t>
            </w:r>
          </w:p>
          <w:p w:rsidR="00040191" w:rsidRPr="00040191" w:rsidRDefault="00040191" w:rsidP="00040191">
            <w:pPr>
              <w:tabs>
                <w:tab w:val="center" w:pos="5508"/>
              </w:tabs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shd w:val="clear" w:color="auto" w:fill="FFFFFF"/>
                <w:lang w:val="es-ES"/>
              </w:rPr>
            </w:pPr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Plaza-Plaza JC, Aguilera M,</w:t>
            </w:r>
            <w:r w:rsidRPr="00040191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 Cañadas-Garre M</w:t>
            </w:r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Chemello</w:t>
            </w:r>
            <w:proofErr w:type="spellEnd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 C, González-</w:t>
            </w:r>
            <w:proofErr w:type="spellStart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Utrilla</w:t>
            </w:r>
            <w:proofErr w:type="spellEnd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 A, </w:t>
            </w:r>
            <w:proofErr w:type="spellStart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Faus</w:t>
            </w:r>
            <w:proofErr w:type="spellEnd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Dader</w:t>
            </w:r>
            <w:proofErr w:type="spellEnd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 xml:space="preserve"> MJ, Calleja MA. </w:t>
            </w:r>
            <w:proofErr w:type="spellStart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</w:rPr>
              <w:t>Ph</w:t>
            </w:r>
            <w:r w:rsidRPr="00AE0718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</w:rPr>
              <w:t>armacogenetic</w:t>
            </w:r>
            <w:proofErr w:type="spellEnd"/>
            <w:r w:rsidRPr="00AE0718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</w:rPr>
              <w:t xml:space="preserve"> </w:t>
            </w:r>
            <w:proofErr w:type="spellStart"/>
            <w:r w:rsidRPr="00AE0718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</w:rPr>
              <w:t>polymor</w:t>
            </w:r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n-US"/>
              </w:rPr>
              <w:t>phisms</w:t>
            </w:r>
            <w:proofErr w:type="spellEnd"/>
            <w:r w:rsidRPr="00040191"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n-US"/>
              </w:rPr>
              <w:t xml:space="preserve"> contributing to toxicity induced by methotrexate in the southern Spanish population with rheumatoid arthritis.</w:t>
            </w:r>
            <w:r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18"/>
                <w:szCs w:val="22"/>
                <w:shd w:val="clear" w:color="auto" w:fill="FFFFFF"/>
                <w:lang w:val="en-US"/>
              </w:rPr>
              <w:t xml:space="preserve"> </w:t>
            </w:r>
            <w:hyperlink r:id="rId9" w:tooltip="Omics : a journal of integrative biology." w:history="1">
              <w:r w:rsidRPr="00040191">
                <w:rPr>
                  <w:rStyle w:val="Hipervnculo"/>
                  <w:rFonts w:asciiTheme="majorHAnsi" w:eastAsia="Times New Roman" w:hAnsiTheme="majorHAnsi" w:cs="Times New Roman"/>
                  <w:color w:val="000000" w:themeColor="text1"/>
                  <w:sz w:val="18"/>
                  <w:szCs w:val="22"/>
                  <w:u w:val="none"/>
                  <w:shd w:val="clear" w:color="auto" w:fill="FFFFFF"/>
                  <w:lang w:val="es-ES"/>
                </w:rPr>
                <w:t>OMICS.</w:t>
              </w:r>
            </w:hyperlink>
            <w:r w:rsidRPr="00040191">
              <w:rPr>
                <w:rStyle w:val="apple-converted-space"/>
                <w:rFonts w:asciiTheme="majorHAnsi" w:eastAsia="Times New Roman" w:hAnsiTheme="majorHAnsi" w:cs="Times New Roman"/>
                <w:color w:val="000000" w:themeColor="text1"/>
                <w:sz w:val="18"/>
                <w:szCs w:val="22"/>
                <w:shd w:val="clear" w:color="auto" w:fill="FFFFFF"/>
                <w:lang w:val="es-ES"/>
              </w:rPr>
              <w:t> </w:t>
            </w:r>
            <w:r w:rsidRPr="0004019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shd w:val="clear" w:color="auto" w:fill="FFFFFF"/>
                <w:lang w:val="es-ES"/>
              </w:rPr>
              <w:t xml:space="preserve">2012;16(11):589-95. </w:t>
            </w:r>
          </w:p>
          <w:p w:rsidR="00D82D99" w:rsidRPr="00040191" w:rsidRDefault="00040191" w:rsidP="00040191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US"/>
              </w:rPr>
            </w:pPr>
            <w:r w:rsidRPr="00040191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Cañadas-Garre M</w:t>
            </w:r>
            <w:r w:rsidRPr="00040191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, Becerra-Massare P, López de la Torre-Casares M, Villar-del Moral J, Céspedes-Mas S, Vílchez-Joya R, Muros-de Fuentes T, García-Calvente C, Piédrola-Maroto G, López-Nevot MA, Montes-Ramírez R, Llamas-Elvira JM. </w:t>
            </w:r>
            <w:r w:rsidRPr="00040191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Reduction of false-negative papillary thyroid carcinomas by the routine analysis of BRAF(T1799A) mutation on fine-needle aspiration biopsy specimens: a prospective study of 814 thyroid FNAB patients.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="00D82D99" w:rsidRPr="00040191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>Ann Surg. 2012;255(5):986-92.</w:t>
            </w:r>
          </w:p>
          <w:p w:rsidR="00D82D99" w:rsidRPr="00761C30" w:rsidRDefault="00A544FA" w:rsidP="00A544FA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US"/>
              </w:rPr>
            </w:pPr>
            <w:r w:rsidRPr="00040191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Cañadas Garre M</w:t>
            </w:r>
            <w:r w:rsidRPr="00A544FA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, López de la Torre Casares M, Becerra Massare P, López Nevot MÁ, Villar Del Moral J, Muñoz Pérez N, Vílchez Joya R, Montes Ramírez R, Llamas Elvira JM. </w:t>
            </w:r>
            <w:r w:rsidRPr="00A544FA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[BRAF(T1799A) mutation in the primary tumor as a marker of risk, recurrence, or persistence of papillary thyroid carcinoma].</w:t>
            </w:r>
            <w:r w:rsidR="00040191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="00D82D99" w:rsidRPr="00761C30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 xml:space="preserve">Endocrinol Nutr. 2011;58(4):175-184. </w:t>
            </w:r>
          </w:p>
          <w:p w:rsidR="00D82D99" w:rsidRPr="00A544FA" w:rsidRDefault="00761C30" w:rsidP="00761C30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761C3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Lachaud C, Tesarik J,</w:t>
            </w:r>
            <w:r w:rsidRPr="00761C30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 xml:space="preserve"> Cañadas ML, </w:t>
            </w:r>
            <w:r w:rsidRPr="00761C3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Mendoza C.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Pr="00761C3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Apoptosis and necrosis in human ejaculated spermatozoa.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="00D82D99" w:rsidRPr="00A544FA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>Human Reproduction Vol. 19, Nº 3 pp. 607-610, 2004.</w:t>
            </w:r>
          </w:p>
        </w:tc>
      </w:tr>
    </w:tbl>
    <w:p w:rsidR="00D82D99" w:rsidRDefault="00D82D99" w:rsidP="00D82D99">
      <w:pPr>
        <w:pStyle w:val="Prrafodelista"/>
        <w:tabs>
          <w:tab w:val="left" w:pos="284"/>
        </w:tabs>
        <w:ind w:left="0"/>
        <w:contextualSpacing w:val="0"/>
        <w:jc w:val="both"/>
        <w:rPr>
          <w:rFonts w:asciiTheme="majorHAnsi" w:hAnsiTheme="majorHAnsi" w:cs="Arial"/>
          <w:b/>
          <w:bCs/>
          <w:noProof/>
          <w:sz w:val="18"/>
          <w:szCs w:val="22"/>
          <w:lang w:val="en-GB"/>
        </w:rPr>
      </w:pPr>
    </w:p>
    <w:tbl>
      <w:tblPr>
        <w:tblStyle w:val="Listaclara-nfasis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38"/>
      </w:tblGrid>
      <w:tr w:rsidR="00340B60" w:rsidTr="0071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000000" w:themeFill="text1"/>
          </w:tcPr>
          <w:p w:rsidR="00340B60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20"/>
                <w:szCs w:val="22"/>
              </w:rPr>
            </w:pPr>
            <w:r>
              <w:rPr>
                <w:rFonts w:asciiTheme="majorHAnsi" w:hAnsiTheme="majorHAnsi" w:cs="Arial"/>
                <w:bCs w:val="0"/>
                <w:noProof/>
                <w:sz w:val="20"/>
                <w:szCs w:val="22"/>
                <w:lang w:val="en-US"/>
              </w:rPr>
              <w:t>Capítulos de Libro</w:t>
            </w:r>
          </w:p>
        </w:tc>
      </w:tr>
      <w:tr w:rsidR="00340B60" w:rsidRPr="003A1669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:rsidR="00340B60" w:rsidRPr="003A1669" w:rsidRDefault="00340B60" w:rsidP="00CA05B8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US"/>
              </w:rPr>
              <w:t>En</w:t>
            </w:r>
            <w:r w:rsidRPr="003A1669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 xml:space="preserve">: Pharmacogenomics and personalized medicine. Ed: </w:t>
            </w:r>
            <w:r w:rsidRPr="003A1669">
              <w:rPr>
                <w:rFonts w:asciiTheme="majorHAnsi" w:hAnsiTheme="majorHAnsi" w:cs="Arial"/>
                <w:noProof/>
                <w:sz w:val="18"/>
                <w:szCs w:val="22"/>
                <w:lang w:val="en-GB"/>
              </w:rPr>
              <w:t>Springer</w:t>
            </w:r>
            <w:r w:rsidRPr="003A1669"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GB"/>
              </w:rPr>
              <w:t>. In press.</w:t>
            </w:r>
          </w:p>
        </w:tc>
      </w:tr>
      <w:tr w:rsidR="00340B60" w:rsidRPr="003A1669" w:rsidTr="0071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Pharmacogenetics and pharmacogenomics of chronic kidney disease comorbidities and kidney transplantation.</w:t>
            </w:r>
          </w:p>
        </w:tc>
      </w:tr>
      <w:tr w:rsidR="00340B60" w:rsidRPr="003A1669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 w:val="0"/>
                <w:sz w:val="18"/>
                <w:szCs w:val="22"/>
                <w:lang w:val="en-US"/>
              </w:rPr>
              <w:t xml:space="preserve">Obesity and Clinical Translational Biomarkers: Host and </w:t>
            </w:r>
            <w:proofErr w:type="spellStart"/>
            <w:r w:rsidRPr="003A1669">
              <w:rPr>
                <w:rFonts w:asciiTheme="majorHAnsi" w:hAnsiTheme="majorHAnsi" w:cs="Arial"/>
                <w:b w:val="0"/>
                <w:sz w:val="18"/>
                <w:szCs w:val="22"/>
                <w:lang w:val="en-US"/>
              </w:rPr>
              <w:t>Microbiota</w:t>
            </w:r>
            <w:proofErr w:type="spellEnd"/>
            <w:r w:rsidRPr="003A1669">
              <w:rPr>
                <w:rFonts w:asciiTheme="majorHAnsi" w:hAnsiTheme="majorHAnsi" w:cs="Arial"/>
                <w:b w:val="0"/>
                <w:sz w:val="18"/>
                <w:szCs w:val="22"/>
                <w:lang w:val="en-US"/>
              </w:rPr>
              <w:t>.</w:t>
            </w:r>
          </w:p>
        </w:tc>
      </w:tr>
      <w:tr w:rsidR="00340B60" w:rsidRPr="003A1669" w:rsidTr="0071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Pharmacogenetics of Oral Anticoagulants.</w:t>
            </w:r>
          </w:p>
        </w:tc>
      </w:tr>
      <w:tr w:rsidR="00340B60" w:rsidRPr="003A1669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>Pharmacogenetics of Opioid and Alcohol Addiction.</w:t>
            </w:r>
          </w:p>
        </w:tc>
      </w:tr>
      <w:tr w:rsidR="00340B60" w:rsidRPr="003A1669" w:rsidTr="0071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bottom w:val="single" w:sz="8" w:space="0" w:color="000000" w:themeColor="text1"/>
            </w:tcBorders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proofErr w:type="spellStart"/>
            <w:r w:rsidRPr="003A1669">
              <w:rPr>
                <w:rFonts w:asciiTheme="majorHAnsi" w:hAnsiTheme="majorHAnsi" w:cs="Arial"/>
                <w:b w:val="0"/>
                <w:sz w:val="18"/>
                <w:szCs w:val="22"/>
                <w:lang w:val="en-US"/>
              </w:rPr>
              <w:t>Pharmacogenetics</w:t>
            </w:r>
            <w:proofErr w:type="spellEnd"/>
            <w:r w:rsidRPr="003A1669">
              <w:rPr>
                <w:rFonts w:asciiTheme="majorHAnsi" w:hAnsiTheme="majorHAnsi" w:cs="Arial"/>
                <w:b w:val="0"/>
                <w:sz w:val="18"/>
                <w:szCs w:val="22"/>
                <w:lang w:val="en-US"/>
              </w:rPr>
              <w:t xml:space="preserve"> Advances of Osteoporosis-Related Bone Fractures.</w:t>
            </w:r>
          </w:p>
        </w:tc>
      </w:tr>
      <w:tr w:rsidR="00340B60" w:rsidRPr="003A1669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12" w:color="auto" w:fill="auto"/>
          </w:tcPr>
          <w:p w:rsidR="00340B60" w:rsidRDefault="00340B60" w:rsidP="00CA05B8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noProof/>
                <w:sz w:val="18"/>
                <w:szCs w:val="22"/>
                <w:lang w:val="en-US"/>
              </w:rPr>
              <w:t xml:space="preserve">En: Cancer Biomarkers: Non-Invasive Early Diagnosis and Prognosis. Ed: Taylor &amp; Francis Group (2013). </w:t>
            </w:r>
          </w:p>
          <w:p w:rsidR="00340B60" w:rsidRPr="003A1669" w:rsidRDefault="00340B60" w:rsidP="00CA05B8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Cs w:val="0"/>
                <w:noProof/>
                <w:sz w:val="18"/>
                <w:szCs w:val="22"/>
                <w:lang w:val="en-US"/>
              </w:rPr>
              <w:t>ISBN: 9781466584280</w:t>
            </w:r>
          </w:p>
        </w:tc>
      </w:tr>
      <w:tr w:rsidR="00340B60" w:rsidRPr="003A1669" w:rsidTr="00715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340B60" w:rsidRPr="003A1669" w:rsidRDefault="00340B60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</w:pPr>
            <w:r w:rsidRPr="003A1669">
              <w:rPr>
                <w:rFonts w:asciiTheme="majorHAnsi" w:hAnsiTheme="majorHAnsi" w:cs="Arial"/>
                <w:b w:val="0"/>
                <w:bCs w:val="0"/>
                <w:noProof/>
                <w:sz w:val="18"/>
                <w:szCs w:val="22"/>
                <w:lang w:val="en-US"/>
              </w:rPr>
              <w:t>Biomarkers in Diagnosis of Papillary Thyroid Carcinoma</w:t>
            </w:r>
          </w:p>
        </w:tc>
      </w:tr>
    </w:tbl>
    <w:p w:rsidR="00340B60" w:rsidRPr="003A1669" w:rsidRDefault="00340B60" w:rsidP="00340B60">
      <w:pPr>
        <w:tabs>
          <w:tab w:val="center" w:pos="5508"/>
        </w:tabs>
        <w:jc w:val="both"/>
        <w:rPr>
          <w:rFonts w:asciiTheme="majorHAnsi" w:hAnsiTheme="majorHAnsi" w:cs="Arial"/>
          <w:b/>
          <w:noProof/>
          <w:sz w:val="18"/>
          <w:szCs w:val="22"/>
          <w:lang w:val="en-GB"/>
        </w:rPr>
      </w:pPr>
    </w:p>
    <w:tbl>
      <w:tblPr>
        <w:tblStyle w:val="Listaclara-nfasis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D82D99" w:rsidTr="0071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000000" w:themeFill="text1"/>
          </w:tcPr>
          <w:p w:rsidR="00D82D99" w:rsidRDefault="00D82D99" w:rsidP="00CA05B8">
            <w:pPr>
              <w:pStyle w:val="Prrafodelista"/>
              <w:tabs>
                <w:tab w:val="left" w:pos="284"/>
              </w:tabs>
              <w:ind w:left="0"/>
              <w:contextualSpacing w:val="0"/>
              <w:jc w:val="both"/>
              <w:rPr>
                <w:rFonts w:asciiTheme="majorHAnsi" w:hAnsiTheme="majorHAnsi" w:cs="Arial"/>
                <w:b w:val="0"/>
                <w:bCs w:val="0"/>
                <w:noProof/>
                <w:sz w:val="20"/>
                <w:szCs w:val="22"/>
              </w:rPr>
            </w:pPr>
            <w:r>
              <w:rPr>
                <w:rFonts w:asciiTheme="majorHAnsi" w:hAnsiTheme="majorHAnsi" w:cs="Arial"/>
                <w:noProof/>
                <w:sz w:val="20"/>
                <w:szCs w:val="22"/>
              </w:rPr>
              <w:t>Otras publicaciones</w:t>
            </w:r>
          </w:p>
        </w:tc>
      </w:tr>
      <w:tr w:rsidR="00D82D99" w:rsidRPr="00D82D99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2D99" w:rsidRPr="00FE0CD0" w:rsidRDefault="00D82D99" w:rsidP="00D82D99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bCs w:val="0"/>
                <w:noProof/>
                <w:sz w:val="20"/>
                <w:szCs w:val="22"/>
                <w:lang w:val="en-US"/>
              </w:rPr>
            </w:pP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Eur J Nucl Med Mol Imaging 2011; 38 (S). Pharm World Sci 2010; 32: 297.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Ars Pharm 2010; 51.Suplemento 3: 193-201. Endocrinol Nutr. 2009; 56:8.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</w:rPr>
              <w:t>Endocrinol Nutr. 2009; 56:8-10.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</w:rPr>
              <w:t>Endocrinol Nutr. 2009; 56: 11.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</w:rPr>
              <w:t>Endocrinol Nutr. 2009; 56:11-12.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Endocrinol Nutr. 2009; 56:12-13.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Endocrinol Nutr. 2009; 56:8.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 xml:space="preserve">Eur J Nucl Med Mol Imaging 2008; 35. Rev Esp Med Nucl 2008; 27 (S1): 19. 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Endocrinol Nutr. 2008; 55:22.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>Eur J Nucl Med Mol Imaging 2008;</w:t>
            </w:r>
            <w:r w:rsidRPr="00FE0CD0">
              <w:rPr>
                <w:rFonts w:asciiTheme="majorHAnsi" w:hAnsiTheme="majorHAnsi" w:cs="Arial"/>
                <w:b w:val="0"/>
                <w:sz w:val="18"/>
                <w:szCs w:val="22"/>
                <w:lang w:val="en-GB"/>
              </w:rPr>
              <w:t xml:space="preserve">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>34 (S2): S389. Eur J Nucl Med Mol Imaging 2008; 34 (S2): S389. 34 (S2): S390. Eur J Nucl Med Mol Imaging 2008; 34 (S2): S218. Rev Esp Med Nucl 2007; 26 (S1): 52.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>Rev Esp Med Nucl 2007; 26 (S1): 26.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Rev Esp Med Nucl 2007; 26 (S1): 7. Endocrinol Nutr. 2007; 54:131. Endocrinol Nutr. 2007; 54:131.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 xml:space="preserve">Eur J Nucl Med Mol Imaging 2007; 34 (S2): S319.  Eur J Nucl Med Mol Imaging 2007; 34 (S2): S379.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Revista Española de Medicina Nuclear 2006; 25 (S1): 65.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>Eur J Nucl Med Mol Imaging 2006; 33: S311.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GB"/>
              </w:rPr>
              <w:t>Eur J Nucl Med Mol Imaging 2006; 33: S303.</w:t>
            </w:r>
            <w:r w:rsidRPr="00FE0CD0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n-US"/>
              </w:rPr>
              <w:t xml:space="preserve"> </w:t>
            </w:r>
          </w:p>
        </w:tc>
      </w:tr>
    </w:tbl>
    <w:p w:rsidR="00D82D99" w:rsidRPr="003A1669" w:rsidRDefault="00D82D99" w:rsidP="00D82D99">
      <w:pPr>
        <w:tabs>
          <w:tab w:val="center" w:pos="5508"/>
        </w:tabs>
        <w:rPr>
          <w:rFonts w:asciiTheme="majorHAnsi" w:hAnsiTheme="majorHAnsi" w:cs="Arial"/>
          <w:b/>
          <w:bCs/>
          <w:noProof/>
          <w:sz w:val="18"/>
          <w:szCs w:val="22"/>
        </w:rPr>
      </w:pPr>
    </w:p>
    <w:tbl>
      <w:tblPr>
        <w:tblStyle w:val="Listaclara-nfasis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38"/>
      </w:tblGrid>
      <w:tr w:rsidR="00FF51C0" w:rsidTr="0071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000000" w:themeFill="text1"/>
          </w:tcPr>
          <w:p w:rsidR="00FF51C0" w:rsidRDefault="00FF51C0" w:rsidP="00FF51C0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20"/>
                <w:szCs w:val="22"/>
                <w:lang w:val="en-GB"/>
              </w:rPr>
            </w:pPr>
            <w:r w:rsidRPr="00FF51C0">
              <w:rPr>
                <w:rFonts w:asciiTheme="majorHAnsi" w:hAnsiTheme="majorHAnsi" w:cs="Arial"/>
                <w:noProof/>
                <w:sz w:val="20"/>
                <w:szCs w:val="22"/>
                <w:lang w:val="en-GB"/>
              </w:rPr>
              <w:t>Proyectos de Investigación</w:t>
            </w:r>
          </w:p>
        </w:tc>
      </w:tr>
      <w:tr w:rsidR="00FF51C0" w:rsidRPr="00C90BAE" w:rsidTr="00715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 xml:space="preserve">Proyecto FIS </w:t>
            </w: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PI10/02149</w:t>
            </w:r>
            <w:r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.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Estudio farmacogenético comparativo de polimorfismos de las estructuras moleculares implicadas en la resistencia a fármacos en líneas celulares progenitoras de cáncer de mama, colon y melanoma. </w:t>
            </w:r>
          </w:p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Proyecto ETS PI09/90874</w:t>
            </w:r>
            <w:r w:rsidRPr="00C90BAE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.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Validez diagnóstica y utilidad clínica de la FDG-PET/TAC y la detección de mutaciones K-RAS, p53 y p16 en el adenocarcinoma de páncreas. </w:t>
            </w:r>
          </w:p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Proyecto SAS PI-0363/2008</w:t>
            </w:r>
            <w:r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.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Desarrollo de una unidad de farmacogenética en el Hospital Virgen de las Nieves. Ensayo de funcionamiento piloto para individualizar terapias oncológicas dirigidas con anticuerpos monoclon</w:t>
            </w:r>
            <w:r w:rsidR="00173084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ales en fase de ensayo clínico. </w:t>
            </w:r>
          </w:p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Proyecto SAS PI-0057/2007</w:t>
            </w:r>
            <w:r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.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Estudio del perfil de expresión génica para valoración diagnóstica y pronóstica de los pacientes con lesiones nodulares tiroideas. </w:t>
            </w:r>
          </w:p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Proyecto SAS06/0298</w:t>
            </w:r>
            <w:r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Validación del octodón degus como modelo natural de enfermedad de Alzheimer mediante la técnica PET. </w:t>
            </w:r>
          </w:p>
          <w:p w:rsidR="00173084" w:rsidRDefault="00C81FB8" w:rsidP="00173084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Contrato 2175 Fundación Virgen de las Nieves-Universidad de Granada</w:t>
            </w:r>
            <w:r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. </w:t>
            </w:r>
            <w:r w:rsidR="00173084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Imagen molecular y terapia génica.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</w:t>
            </w:r>
          </w:p>
          <w:p w:rsidR="00C90BAE" w:rsidRDefault="00C81FB8" w:rsidP="00FF51C0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Contrato 2074 universidad de Granada-Mar&amp;Gen</w:t>
            </w:r>
            <w:r w:rsidRPr="00C81FB8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.</w:t>
            </w: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 xml:space="preserve"> </w:t>
            </w:r>
            <w:r w:rsidR="005F7E6F" w:rsidRPr="005F7E6F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Investigación y puesta a punto de nuevas técnicas aplicadas al diagnóstico clínico de infertilidad.</w:t>
            </w:r>
            <w:r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 </w:t>
            </w:r>
          </w:p>
          <w:p w:rsidR="00FF51C0" w:rsidRPr="00C90BAE" w:rsidRDefault="005F7E6F" w:rsidP="00C90BAE">
            <w:pPr>
              <w:tabs>
                <w:tab w:val="center" w:pos="5508"/>
              </w:tabs>
              <w:jc w:val="both"/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</w:pPr>
            <w:r w:rsidRPr="00C90BAE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 xml:space="preserve">Red temática de investigación cooperativa de cáncer. </w:t>
            </w:r>
            <w:r w:rsidRPr="00C81FB8">
              <w:rPr>
                <w:rFonts w:asciiTheme="majorHAnsi" w:hAnsiTheme="majorHAnsi" w:cs="Arial"/>
                <w:noProof/>
                <w:sz w:val="18"/>
                <w:szCs w:val="22"/>
                <w:lang w:val="es-ES"/>
              </w:rPr>
              <w:t>RD06/0020/0032</w:t>
            </w:r>
            <w:r w:rsidRPr="00C90BAE">
              <w:rPr>
                <w:rFonts w:asciiTheme="majorHAnsi" w:hAnsiTheme="majorHAnsi" w:cs="Arial"/>
                <w:b w:val="0"/>
                <w:noProof/>
                <w:sz w:val="18"/>
                <w:szCs w:val="22"/>
                <w:lang w:val="es-ES"/>
              </w:rPr>
              <w:t>.</w:t>
            </w:r>
          </w:p>
        </w:tc>
      </w:tr>
    </w:tbl>
    <w:p w:rsidR="00FF51C0" w:rsidRPr="00C90BAE" w:rsidRDefault="00FF51C0" w:rsidP="00405FEB">
      <w:pPr>
        <w:tabs>
          <w:tab w:val="center" w:pos="5508"/>
        </w:tabs>
        <w:jc w:val="both"/>
        <w:rPr>
          <w:rFonts w:asciiTheme="majorHAnsi" w:hAnsiTheme="majorHAnsi" w:cs="Arial"/>
          <w:b/>
          <w:noProof/>
          <w:sz w:val="20"/>
          <w:szCs w:val="22"/>
          <w:lang w:val="es-ES"/>
        </w:rPr>
      </w:pPr>
    </w:p>
    <w:sectPr w:rsidR="00FF51C0" w:rsidRPr="00C90BAE" w:rsidSect="00405FEB">
      <w:pgSz w:w="11900" w:h="16840"/>
      <w:pgMar w:top="1135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A4F"/>
    <w:multiLevelType w:val="hybridMultilevel"/>
    <w:tmpl w:val="CCFEA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3"/>
    <w:rsid w:val="00040191"/>
    <w:rsid w:val="00073203"/>
    <w:rsid w:val="00173084"/>
    <w:rsid w:val="0017726B"/>
    <w:rsid w:val="002669FD"/>
    <w:rsid w:val="0031190D"/>
    <w:rsid w:val="00340B60"/>
    <w:rsid w:val="003A1669"/>
    <w:rsid w:val="003E2A30"/>
    <w:rsid w:val="003E745D"/>
    <w:rsid w:val="00405FEB"/>
    <w:rsid w:val="00456AA7"/>
    <w:rsid w:val="00561EA6"/>
    <w:rsid w:val="005F7E6F"/>
    <w:rsid w:val="006210AA"/>
    <w:rsid w:val="00644A94"/>
    <w:rsid w:val="007153AE"/>
    <w:rsid w:val="00761C30"/>
    <w:rsid w:val="007E2B8B"/>
    <w:rsid w:val="009B4BE8"/>
    <w:rsid w:val="00A544FA"/>
    <w:rsid w:val="00AE0718"/>
    <w:rsid w:val="00BC1A51"/>
    <w:rsid w:val="00C81FB8"/>
    <w:rsid w:val="00C90BAE"/>
    <w:rsid w:val="00D82D99"/>
    <w:rsid w:val="00E425CA"/>
    <w:rsid w:val="00FE0CD0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73203"/>
    <w:pPr>
      <w:ind w:left="720"/>
    </w:pPr>
    <w:rPr>
      <w:rFonts w:ascii="Times New Roman" w:eastAsia="MS ??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732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A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1EA6"/>
  </w:style>
  <w:style w:type="table" w:styleId="Tablaconcuadrcula">
    <w:name w:val="Table Grid"/>
    <w:basedOn w:val="Tablanormal"/>
    <w:uiPriority w:val="59"/>
    <w:rsid w:val="00D8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82D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7E2B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073203"/>
    <w:pPr>
      <w:ind w:left="720"/>
    </w:pPr>
    <w:rPr>
      <w:rFonts w:ascii="Times New Roman" w:eastAsia="MS ??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0732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A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61EA6"/>
  </w:style>
  <w:style w:type="table" w:styleId="Tablaconcuadrcula">
    <w:name w:val="Table Grid"/>
    <w:basedOn w:val="Tablanormal"/>
    <w:uiPriority w:val="59"/>
    <w:rsid w:val="00D8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82D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6">
    <w:name w:val="Light List Accent 6"/>
    <w:basedOn w:val="Tablanormal"/>
    <w:uiPriority w:val="61"/>
    <w:rsid w:val="007E2B8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4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7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isacgarre@gmail.com" TargetMode="External"/><Relationship Id="rId8" Type="http://schemas.openxmlformats.org/officeDocument/2006/relationships/hyperlink" Target="http://www.ncbi.nlm.nih.gov/pubmed/?term=ca%C3%B1ada+garre+m" TargetMode="External"/><Relationship Id="rId9" Type="http://schemas.openxmlformats.org/officeDocument/2006/relationships/hyperlink" Target="http://www.ncbi.nlm.nih.gov/pubmed/?term=plaza-plaza+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4147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Pérez Ramírez</dc:creator>
  <cp:keywords/>
  <dc:description/>
  <cp:lastModifiedBy>Cristina Pérez Ramírez</cp:lastModifiedBy>
  <cp:revision>2</cp:revision>
  <dcterms:created xsi:type="dcterms:W3CDTF">2013-03-20T21:16:00Z</dcterms:created>
  <dcterms:modified xsi:type="dcterms:W3CDTF">2013-03-20T21:16:00Z</dcterms:modified>
</cp:coreProperties>
</file>